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FCF55" w14:textId="77777777" w:rsidR="00FE067E" w:rsidRPr="00AA5CE1" w:rsidRDefault="003C6034" w:rsidP="00CC1F3B">
      <w:pPr>
        <w:pStyle w:val="TitlePageOrigin"/>
        <w:rPr>
          <w:color w:val="auto"/>
        </w:rPr>
      </w:pPr>
      <w:r w:rsidRPr="00AA5CE1">
        <w:rPr>
          <w:caps w:val="0"/>
          <w:color w:val="auto"/>
        </w:rPr>
        <w:t>WEST VIRGINIA LEGISLATURE</w:t>
      </w:r>
    </w:p>
    <w:p w14:paraId="7891AAD8" w14:textId="77777777" w:rsidR="00CD36CF" w:rsidRPr="00AA5CE1" w:rsidRDefault="00CD36CF" w:rsidP="00CC1F3B">
      <w:pPr>
        <w:pStyle w:val="TitlePageSession"/>
        <w:rPr>
          <w:color w:val="auto"/>
        </w:rPr>
      </w:pPr>
      <w:r w:rsidRPr="00AA5CE1">
        <w:rPr>
          <w:color w:val="auto"/>
        </w:rPr>
        <w:t>20</w:t>
      </w:r>
      <w:r w:rsidR="00EC5E63" w:rsidRPr="00AA5CE1">
        <w:rPr>
          <w:color w:val="auto"/>
        </w:rPr>
        <w:t>2</w:t>
      </w:r>
      <w:r w:rsidR="00400B5C" w:rsidRPr="00AA5CE1">
        <w:rPr>
          <w:color w:val="auto"/>
        </w:rPr>
        <w:t>2</w:t>
      </w:r>
      <w:r w:rsidRPr="00AA5CE1">
        <w:rPr>
          <w:color w:val="auto"/>
        </w:rPr>
        <w:t xml:space="preserve"> </w:t>
      </w:r>
      <w:r w:rsidR="003C6034" w:rsidRPr="00AA5CE1">
        <w:rPr>
          <w:caps w:val="0"/>
          <w:color w:val="auto"/>
        </w:rPr>
        <w:t>REGULAR SESSION</w:t>
      </w:r>
    </w:p>
    <w:p w14:paraId="07541ECD" w14:textId="77777777" w:rsidR="00CD36CF" w:rsidRPr="00AA5CE1" w:rsidRDefault="006E7A98" w:rsidP="00CC1F3B">
      <w:pPr>
        <w:pStyle w:val="TitlePageBillPrefix"/>
        <w:rPr>
          <w:color w:val="auto"/>
        </w:rPr>
      </w:pPr>
      <w:sdt>
        <w:sdtPr>
          <w:rPr>
            <w:color w:val="auto"/>
          </w:rPr>
          <w:tag w:val="IntroDate"/>
          <w:id w:val="-1236936958"/>
          <w:placeholder>
            <w:docPart w:val="7FE0675DDBBC43D5BFE9FE241F2E9902"/>
          </w:placeholder>
          <w:text/>
        </w:sdtPr>
        <w:sdtEndPr/>
        <w:sdtContent>
          <w:r w:rsidR="00AE48A0" w:rsidRPr="00AA5CE1">
            <w:rPr>
              <w:color w:val="auto"/>
            </w:rPr>
            <w:t>Introduced</w:t>
          </w:r>
        </w:sdtContent>
      </w:sdt>
    </w:p>
    <w:p w14:paraId="412E5B8A" w14:textId="3995EF8B" w:rsidR="00CD36CF" w:rsidRPr="00AA5CE1" w:rsidRDefault="006E7A98" w:rsidP="00CC1F3B">
      <w:pPr>
        <w:pStyle w:val="BillNumber"/>
        <w:rPr>
          <w:color w:val="auto"/>
        </w:rPr>
      </w:pPr>
      <w:sdt>
        <w:sdtPr>
          <w:rPr>
            <w:color w:val="auto"/>
          </w:rPr>
          <w:tag w:val="Chamber"/>
          <w:id w:val="893011969"/>
          <w:lock w:val="sdtLocked"/>
          <w:placeholder>
            <w:docPart w:val="385D508110B147D782F7EACB60041DC9"/>
          </w:placeholder>
          <w:dropDownList>
            <w:listItem w:displayText="House" w:value="House"/>
            <w:listItem w:displayText="Senate" w:value="Senate"/>
          </w:dropDownList>
        </w:sdtPr>
        <w:sdtEndPr/>
        <w:sdtContent>
          <w:r w:rsidR="00C33434" w:rsidRPr="00AA5CE1">
            <w:rPr>
              <w:color w:val="auto"/>
            </w:rPr>
            <w:t>House</w:t>
          </w:r>
        </w:sdtContent>
      </w:sdt>
      <w:r w:rsidR="00303684" w:rsidRPr="00AA5CE1">
        <w:rPr>
          <w:color w:val="auto"/>
        </w:rPr>
        <w:t xml:space="preserve"> </w:t>
      </w:r>
      <w:r w:rsidR="00CD36CF" w:rsidRPr="00AA5CE1">
        <w:rPr>
          <w:color w:val="auto"/>
        </w:rPr>
        <w:t xml:space="preserve">Bill </w:t>
      </w:r>
      <w:sdt>
        <w:sdtPr>
          <w:rPr>
            <w:color w:val="auto"/>
          </w:rPr>
          <w:tag w:val="BNum"/>
          <w:id w:val="1645317809"/>
          <w:lock w:val="sdtLocked"/>
          <w:placeholder>
            <w:docPart w:val="A5E066C33B544953B5697CBACDF9EBAC"/>
          </w:placeholder>
          <w:text/>
        </w:sdtPr>
        <w:sdtEndPr/>
        <w:sdtContent>
          <w:r>
            <w:rPr>
              <w:color w:val="auto"/>
            </w:rPr>
            <w:t>4111</w:t>
          </w:r>
        </w:sdtContent>
      </w:sdt>
    </w:p>
    <w:p w14:paraId="2A7A9866" w14:textId="3ABCDD7A" w:rsidR="00CD36CF" w:rsidRPr="00AA5CE1" w:rsidRDefault="00CD36CF" w:rsidP="00CC1F3B">
      <w:pPr>
        <w:pStyle w:val="Sponsors"/>
        <w:rPr>
          <w:color w:val="auto"/>
        </w:rPr>
      </w:pPr>
      <w:r w:rsidRPr="00AA5CE1">
        <w:rPr>
          <w:color w:val="auto"/>
        </w:rPr>
        <w:t xml:space="preserve">By </w:t>
      </w:r>
      <w:sdt>
        <w:sdtPr>
          <w:rPr>
            <w:color w:val="auto"/>
          </w:rPr>
          <w:tag w:val="Sponsors"/>
          <w:id w:val="1589585889"/>
          <w:placeholder>
            <w:docPart w:val="CD20BB35C6DF4196BDC1ABFBB7B4F4D1"/>
          </w:placeholder>
          <w:text w:multiLine="1"/>
        </w:sdtPr>
        <w:sdtEndPr/>
        <w:sdtContent>
          <w:r w:rsidR="00A56714" w:rsidRPr="00AA5CE1">
            <w:rPr>
              <w:color w:val="auto"/>
            </w:rPr>
            <w:t>Delegates Rohrbach,</w:t>
          </w:r>
          <w:r w:rsidR="00FE420E" w:rsidRPr="00AA5CE1">
            <w:rPr>
              <w:color w:val="auto"/>
            </w:rPr>
            <w:t xml:space="preserve"> D.</w:t>
          </w:r>
          <w:r w:rsidR="00A56714" w:rsidRPr="00AA5CE1">
            <w:rPr>
              <w:color w:val="auto"/>
            </w:rPr>
            <w:t xml:space="preserve"> Jeffries, </w:t>
          </w:r>
          <w:r w:rsidR="00E42E5B" w:rsidRPr="00AA5CE1">
            <w:rPr>
              <w:color w:val="auto"/>
            </w:rPr>
            <w:t xml:space="preserve">Summers, </w:t>
          </w:r>
          <w:r w:rsidR="00A56714" w:rsidRPr="00AA5CE1">
            <w:rPr>
              <w:color w:val="auto"/>
            </w:rPr>
            <w:t>Reed,</w:t>
          </w:r>
          <w:r w:rsidR="00FE420E" w:rsidRPr="00AA5CE1">
            <w:rPr>
              <w:color w:val="auto"/>
            </w:rPr>
            <w:t xml:space="preserve"> G.</w:t>
          </w:r>
          <w:r w:rsidR="00A56714" w:rsidRPr="00AA5CE1">
            <w:rPr>
              <w:color w:val="auto"/>
            </w:rPr>
            <w:t xml:space="preserve"> Ward, Bates</w:t>
          </w:r>
          <w:r w:rsidR="004410FD" w:rsidRPr="00AA5CE1">
            <w:rPr>
              <w:color w:val="auto"/>
            </w:rPr>
            <w:t>, Rowan, Forsht, Mallow</w:t>
          </w:r>
          <w:r w:rsidR="00DB21C2" w:rsidRPr="00AA5CE1">
            <w:rPr>
              <w:color w:val="auto"/>
            </w:rPr>
            <w:t>,</w:t>
          </w:r>
          <w:r w:rsidR="00A56714" w:rsidRPr="00AA5CE1">
            <w:rPr>
              <w:color w:val="auto"/>
            </w:rPr>
            <w:t xml:space="preserve"> and  Worrell</w:t>
          </w:r>
        </w:sdtContent>
      </w:sdt>
    </w:p>
    <w:p w14:paraId="3C353DAC" w14:textId="2D36615C" w:rsidR="00E831B3" w:rsidRPr="00AA5CE1" w:rsidRDefault="00CD36CF" w:rsidP="00CC1F3B">
      <w:pPr>
        <w:pStyle w:val="References"/>
        <w:rPr>
          <w:color w:val="auto"/>
        </w:rPr>
      </w:pPr>
      <w:r w:rsidRPr="00AA5CE1">
        <w:rPr>
          <w:color w:val="auto"/>
        </w:rPr>
        <w:t>[</w:t>
      </w:r>
      <w:sdt>
        <w:sdtPr>
          <w:rPr>
            <w:color w:val="auto"/>
          </w:rPr>
          <w:tag w:val="References"/>
          <w:id w:val="-1043047873"/>
          <w:placeholder>
            <w:docPart w:val="5294C042251A4148814D853A4DED8311"/>
          </w:placeholder>
          <w:text w:multiLine="1"/>
        </w:sdtPr>
        <w:sdtEndPr/>
        <w:sdtContent>
          <w:r w:rsidR="006E7A98">
            <w:rPr>
              <w:color w:val="auto"/>
            </w:rPr>
            <w:t>Introduced January 17, 2022; Referred to the Committee on Health and Human Resources then the Judiciary</w:t>
          </w:r>
        </w:sdtContent>
      </w:sdt>
      <w:r w:rsidRPr="00AA5CE1">
        <w:rPr>
          <w:color w:val="auto"/>
        </w:rPr>
        <w:t>]</w:t>
      </w:r>
    </w:p>
    <w:p w14:paraId="618BC74C" w14:textId="68908F2C" w:rsidR="00303684" w:rsidRPr="00AA5CE1" w:rsidRDefault="0000526A" w:rsidP="00CC1F3B">
      <w:pPr>
        <w:pStyle w:val="TitleSection"/>
        <w:rPr>
          <w:color w:val="auto"/>
        </w:rPr>
      </w:pPr>
      <w:r w:rsidRPr="00AA5CE1">
        <w:rPr>
          <w:color w:val="auto"/>
        </w:rPr>
        <w:lastRenderedPageBreak/>
        <w:t>A BILL</w:t>
      </w:r>
      <w:r w:rsidR="00CA292D" w:rsidRPr="00AA5CE1">
        <w:rPr>
          <w:color w:val="auto"/>
        </w:rPr>
        <w:t xml:space="preserve"> to amend and reenact §3</w:t>
      </w:r>
      <w:r w:rsidR="009D75FB" w:rsidRPr="00AA5CE1">
        <w:rPr>
          <w:color w:val="auto"/>
        </w:rPr>
        <w:t>0</w:t>
      </w:r>
      <w:r w:rsidR="00CA292D" w:rsidRPr="00AA5CE1">
        <w:rPr>
          <w:color w:val="auto"/>
        </w:rPr>
        <w:t>-</w:t>
      </w:r>
      <w:r w:rsidR="009D75FB" w:rsidRPr="00AA5CE1">
        <w:rPr>
          <w:color w:val="auto"/>
        </w:rPr>
        <w:t>3E</w:t>
      </w:r>
      <w:r w:rsidR="00CA292D" w:rsidRPr="00AA5CE1">
        <w:rPr>
          <w:color w:val="auto"/>
        </w:rPr>
        <w:t>-</w:t>
      </w:r>
      <w:r w:rsidR="009D75FB" w:rsidRPr="00AA5CE1">
        <w:rPr>
          <w:color w:val="auto"/>
        </w:rPr>
        <w:t>3</w:t>
      </w:r>
      <w:r w:rsidR="00CA292D" w:rsidRPr="00AA5CE1">
        <w:rPr>
          <w:color w:val="auto"/>
        </w:rPr>
        <w:t xml:space="preserve"> of the Code of West Virginia, 1931, as amended</w:t>
      </w:r>
      <w:r w:rsidR="00205BE9" w:rsidRPr="00AA5CE1">
        <w:rPr>
          <w:color w:val="auto"/>
        </w:rPr>
        <w:t>;</w:t>
      </w:r>
      <w:r w:rsidR="009D75FB" w:rsidRPr="00AA5CE1">
        <w:rPr>
          <w:color w:val="auto"/>
        </w:rPr>
        <w:t xml:space="preserve"> </w:t>
      </w:r>
      <w:r w:rsidR="008F47A8" w:rsidRPr="00AA5CE1">
        <w:rPr>
          <w:color w:val="auto"/>
        </w:rPr>
        <w:t>a</w:t>
      </w:r>
      <w:r w:rsidR="00233788" w:rsidRPr="00AA5CE1">
        <w:rPr>
          <w:color w:val="auto"/>
        </w:rPr>
        <w:t>n</w:t>
      </w:r>
      <w:r w:rsidR="008F47A8" w:rsidRPr="00AA5CE1">
        <w:rPr>
          <w:color w:val="auto"/>
        </w:rPr>
        <w:t>d to amend and reenact §30-7-15</w:t>
      </w:r>
      <w:r w:rsidR="00233788" w:rsidRPr="00AA5CE1">
        <w:rPr>
          <w:color w:val="auto"/>
        </w:rPr>
        <w:t>a</w:t>
      </w:r>
      <w:r w:rsidR="008F47A8" w:rsidRPr="00AA5CE1">
        <w:rPr>
          <w:color w:val="auto"/>
        </w:rPr>
        <w:t xml:space="preserve"> of said code, </w:t>
      </w:r>
      <w:r w:rsidR="009D75FB" w:rsidRPr="00AA5CE1">
        <w:rPr>
          <w:color w:val="auto"/>
        </w:rPr>
        <w:t>all</w:t>
      </w:r>
      <w:r w:rsidR="00CA292D" w:rsidRPr="00AA5CE1">
        <w:rPr>
          <w:color w:val="auto"/>
        </w:rPr>
        <w:t xml:space="preserve"> relating to </w:t>
      </w:r>
      <w:r w:rsidR="008F47A8" w:rsidRPr="00AA5CE1">
        <w:rPr>
          <w:color w:val="auto"/>
        </w:rPr>
        <w:t xml:space="preserve">clarifying </w:t>
      </w:r>
      <w:r w:rsidR="009D75FB" w:rsidRPr="00AA5CE1">
        <w:rPr>
          <w:color w:val="auto"/>
        </w:rPr>
        <w:t>prescriptive authority</w:t>
      </w:r>
      <w:r w:rsidR="00233788" w:rsidRPr="00AA5CE1">
        <w:rPr>
          <w:color w:val="auto"/>
        </w:rPr>
        <w:t xml:space="preserve"> of physicians</w:t>
      </w:r>
      <w:r w:rsidR="003C408C" w:rsidRPr="00AA5CE1">
        <w:rPr>
          <w:color w:val="auto"/>
        </w:rPr>
        <w:t xml:space="preserve"> assistants</w:t>
      </w:r>
      <w:r w:rsidR="00233788" w:rsidRPr="00AA5CE1">
        <w:rPr>
          <w:color w:val="auto"/>
        </w:rPr>
        <w:t xml:space="preserve"> and registered professional nurses</w:t>
      </w:r>
      <w:r w:rsidR="00CA292D" w:rsidRPr="00AA5CE1">
        <w:rPr>
          <w:color w:val="auto"/>
        </w:rPr>
        <w:t>.</w:t>
      </w:r>
    </w:p>
    <w:p w14:paraId="4A69AA51" w14:textId="5D501ED8" w:rsidR="00303684" w:rsidRPr="00AA5CE1" w:rsidRDefault="00303684" w:rsidP="00CC1F3B">
      <w:pPr>
        <w:pStyle w:val="EnactingClause"/>
        <w:rPr>
          <w:color w:val="auto"/>
        </w:rPr>
      </w:pPr>
      <w:r w:rsidRPr="00AA5CE1">
        <w:rPr>
          <w:color w:val="auto"/>
        </w:rPr>
        <w:t xml:space="preserve">Be it enacted by the Legislature of </w:t>
      </w:r>
      <w:r w:rsidR="008F47A8" w:rsidRPr="00AA5CE1">
        <w:rPr>
          <w:color w:val="auto"/>
        </w:rPr>
        <w:t>W</w:t>
      </w:r>
      <w:r w:rsidRPr="00AA5CE1">
        <w:rPr>
          <w:color w:val="auto"/>
        </w:rPr>
        <w:t>est Virginia:</w:t>
      </w:r>
    </w:p>
    <w:p w14:paraId="52B7BAFE" w14:textId="77777777" w:rsidR="003C6034" w:rsidRPr="00AA5CE1" w:rsidRDefault="003C6034" w:rsidP="00CC1F3B">
      <w:pPr>
        <w:pStyle w:val="EnactingClause"/>
        <w:rPr>
          <w:color w:val="auto"/>
        </w:rPr>
        <w:sectPr w:rsidR="003C6034" w:rsidRPr="00AA5CE1" w:rsidSect="00C41B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C43D0E" w14:textId="77777777" w:rsidR="003D22B5" w:rsidRPr="00AA5CE1" w:rsidRDefault="003D22B5" w:rsidP="003B7304">
      <w:pPr>
        <w:pStyle w:val="ArticleHeading"/>
        <w:rPr>
          <w:color w:val="auto"/>
        </w:rPr>
        <w:sectPr w:rsidR="003D22B5" w:rsidRPr="00AA5CE1" w:rsidSect="0012036A">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AA5CE1">
        <w:rPr>
          <w:color w:val="auto"/>
        </w:rPr>
        <w:t>ARTICLE 3E. PHYSICIAN ASSISTANTS PRACTICE ACT.</w:t>
      </w:r>
    </w:p>
    <w:p w14:paraId="5829A29C" w14:textId="77777777" w:rsidR="003D22B5" w:rsidRPr="00AA5CE1" w:rsidRDefault="003D22B5" w:rsidP="00C91250">
      <w:pPr>
        <w:pStyle w:val="SectionHeading"/>
        <w:rPr>
          <w:color w:val="auto"/>
        </w:rPr>
      </w:pPr>
      <w:r w:rsidRPr="00AA5CE1">
        <w:rPr>
          <w:color w:val="auto"/>
        </w:rPr>
        <w:t>§30-3E-3. Rulemaking.</w:t>
      </w:r>
    </w:p>
    <w:p w14:paraId="50501569" w14:textId="77777777" w:rsidR="003D22B5" w:rsidRPr="00AA5CE1" w:rsidRDefault="003D22B5" w:rsidP="00C91250">
      <w:pPr>
        <w:pStyle w:val="SectionBody"/>
        <w:rPr>
          <w:color w:val="auto"/>
        </w:rPr>
        <w:sectPr w:rsidR="003D22B5" w:rsidRPr="00AA5CE1" w:rsidSect="004948D5">
          <w:type w:val="continuous"/>
          <w:pgSz w:w="12240" w:h="15840" w:code="1"/>
          <w:pgMar w:top="1440" w:right="1440" w:bottom="1440" w:left="1440" w:header="720" w:footer="720" w:gutter="0"/>
          <w:lnNumType w:countBy="1" w:restart="newSection"/>
          <w:cols w:space="720"/>
          <w:titlePg/>
          <w:docGrid w:linePitch="360"/>
        </w:sectPr>
      </w:pPr>
    </w:p>
    <w:p w14:paraId="2B5235B6" w14:textId="77777777" w:rsidR="003D22B5" w:rsidRPr="00AA5CE1" w:rsidRDefault="003D22B5" w:rsidP="00C91250">
      <w:pPr>
        <w:pStyle w:val="SectionBody"/>
        <w:rPr>
          <w:color w:val="auto"/>
        </w:rPr>
      </w:pPr>
      <w:r w:rsidRPr="00AA5CE1">
        <w:rPr>
          <w:color w:val="auto"/>
        </w:rPr>
        <w:t>(a) The boards shall propose rules for legislative approval in accordance with the provisions of §29A-3-1 et seq. of this code to implement the provisions of this article, including:</w:t>
      </w:r>
    </w:p>
    <w:p w14:paraId="0BE3556C" w14:textId="77777777" w:rsidR="003D22B5" w:rsidRPr="00AA5CE1" w:rsidRDefault="003D22B5" w:rsidP="00C91250">
      <w:pPr>
        <w:pStyle w:val="SectionBody"/>
        <w:rPr>
          <w:color w:val="auto"/>
        </w:rPr>
      </w:pPr>
      <w:r w:rsidRPr="00AA5CE1">
        <w:rPr>
          <w:color w:val="auto"/>
        </w:rPr>
        <w:t>(1) The extent to which physician assistants may practice in this state;</w:t>
      </w:r>
    </w:p>
    <w:p w14:paraId="2B50BC98" w14:textId="77777777" w:rsidR="003D22B5" w:rsidRPr="00AA5CE1" w:rsidRDefault="003D22B5" w:rsidP="00C91250">
      <w:pPr>
        <w:pStyle w:val="SectionBody"/>
        <w:rPr>
          <w:color w:val="auto"/>
        </w:rPr>
      </w:pPr>
      <w:r w:rsidRPr="00AA5CE1">
        <w:rPr>
          <w:color w:val="auto"/>
        </w:rPr>
        <w:t>(2) The extent to which physician assistants may pronounce death;</w:t>
      </w:r>
    </w:p>
    <w:p w14:paraId="535FDB13" w14:textId="77777777" w:rsidR="003D22B5" w:rsidRPr="00AA5CE1" w:rsidRDefault="003D22B5" w:rsidP="00C91250">
      <w:pPr>
        <w:pStyle w:val="SectionBody"/>
        <w:rPr>
          <w:color w:val="auto"/>
        </w:rPr>
      </w:pPr>
      <w:r w:rsidRPr="00AA5CE1">
        <w:rPr>
          <w:color w:val="auto"/>
        </w:rPr>
        <w:t>(3) Requirements for licenses and temporary licenses;</w:t>
      </w:r>
    </w:p>
    <w:p w14:paraId="1F644929" w14:textId="77777777" w:rsidR="003D22B5" w:rsidRPr="00AA5CE1" w:rsidRDefault="003D22B5" w:rsidP="00C91250">
      <w:pPr>
        <w:pStyle w:val="SectionBody"/>
        <w:rPr>
          <w:color w:val="auto"/>
        </w:rPr>
      </w:pPr>
      <w:r w:rsidRPr="00AA5CE1">
        <w:rPr>
          <w:color w:val="auto"/>
        </w:rPr>
        <w:t>(4) Requirements for practice notifications;</w:t>
      </w:r>
    </w:p>
    <w:p w14:paraId="65577AE4" w14:textId="77777777" w:rsidR="003D22B5" w:rsidRPr="00AA5CE1" w:rsidRDefault="003D22B5" w:rsidP="00C91250">
      <w:pPr>
        <w:pStyle w:val="SectionBody"/>
        <w:rPr>
          <w:color w:val="auto"/>
        </w:rPr>
      </w:pPr>
      <w:r w:rsidRPr="00AA5CE1">
        <w:rPr>
          <w:color w:val="auto"/>
        </w:rPr>
        <w:t>(5) Requirements for continuing education;</w:t>
      </w:r>
    </w:p>
    <w:p w14:paraId="6812643A" w14:textId="77777777" w:rsidR="003D22B5" w:rsidRPr="00AA5CE1" w:rsidRDefault="003D22B5" w:rsidP="00C91250">
      <w:pPr>
        <w:pStyle w:val="SectionBody"/>
        <w:rPr>
          <w:color w:val="auto"/>
        </w:rPr>
      </w:pPr>
      <w:r w:rsidRPr="00AA5CE1">
        <w:rPr>
          <w:color w:val="auto"/>
        </w:rPr>
        <w:t>(6) Conduct of a licensee for which discipline may be imposed;</w:t>
      </w:r>
    </w:p>
    <w:p w14:paraId="249BF863" w14:textId="77777777" w:rsidR="003D22B5" w:rsidRPr="00AA5CE1" w:rsidRDefault="003D22B5" w:rsidP="00C91250">
      <w:pPr>
        <w:pStyle w:val="SectionBody"/>
        <w:rPr>
          <w:color w:val="auto"/>
        </w:rPr>
      </w:pPr>
      <w:r w:rsidRPr="00AA5CE1">
        <w:rPr>
          <w:color w:val="auto"/>
        </w:rPr>
        <w:t xml:space="preserve">(7) The eligibility and extent to which a physician assistant may prescribe, including: A state formulary classifying those categories of drugs which may not be prescribed by a physician assistant, including, but not limited to, Schedules I and II of the Uniform Controlled Substances Act, antineoplastics, radiopharmaceuticals, and general anesthetics: </w:t>
      </w:r>
      <w:r w:rsidRPr="00AA5CE1">
        <w:rPr>
          <w:i/>
          <w:color w:val="auto"/>
        </w:rPr>
        <w:t>Provided,</w:t>
      </w:r>
      <w:r w:rsidRPr="00AA5CE1">
        <w:rPr>
          <w:color w:val="auto"/>
        </w:rPr>
        <w:t xml:space="preserve"> That a physician assistant </w:t>
      </w:r>
      <w:r w:rsidRPr="00AA5CE1">
        <w:rPr>
          <w:strike/>
          <w:color w:val="auto"/>
        </w:rPr>
        <w:t>or an advanced practice registered nurse</w:t>
      </w:r>
      <w:r w:rsidRPr="00AA5CE1">
        <w:rPr>
          <w:color w:val="auto"/>
        </w:rPr>
        <w:t xml:space="preserve"> may prescribe no more than a three-day supply, without refill, of a drug listed in the Uniform Controlled Substances Act as a Schedule II drug. Drugs listed under Schedule III shall be limited to a 30-day supply without refill. In addition to the above referenced provisions and restrictions and pursuant to a practice notification as set forth in this article, the rules shall permit the prescribing of an annual supply of any drug, with the exception of controlled substances, which is prescribed for the treatment of a chronic condition, other than chronic pain management. For the purposes of this section, a chronic condition is a condition which lasts three months or more, generally cannot be prevented by vaccines, can be </w:t>
      </w:r>
      <w:r w:rsidRPr="00AA5CE1">
        <w:rPr>
          <w:color w:val="auto"/>
        </w:rPr>
        <w:lastRenderedPageBreak/>
        <w:t xml:space="preserve">controlled but not cured by medication, and does not generally disappear. These conditions, with the exception of chronic pain, include, but are not limited to, arthritis, asthma, cardiovascular disease, cancer, diabetes, epilepsy and seizures, and obesity; </w:t>
      </w:r>
    </w:p>
    <w:p w14:paraId="0E94B659" w14:textId="77777777" w:rsidR="003D22B5" w:rsidRPr="00AA5CE1" w:rsidRDefault="003D22B5" w:rsidP="00C91250">
      <w:pPr>
        <w:pStyle w:val="SectionBody"/>
        <w:rPr>
          <w:color w:val="auto"/>
        </w:rPr>
      </w:pPr>
      <w:r w:rsidRPr="00AA5CE1">
        <w:rPr>
          <w:color w:val="auto"/>
        </w:rPr>
        <w:t>(8) A fee schedule; and</w:t>
      </w:r>
    </w:p>
    <w:p w14:paraId="7A2439A3" w14:textId="77777777" w:rsidR="003D22B5" w:rsidRPr="00AA5CE1" w:rsidRDefault="003D22B5" w:rsidP="00C91250">
      <w:pPr>
        <w:pStyle w:val="SectionBody"/>
        <w:rPr>
          <w:color w:val="auto"/>
        </w:rPr>
      </w:pPr>
      <w:r w:rsidRPr="00AA5CE1">
        <w:rPr>
          <w:color w:val="auto"/>
        </w:rPr>
        <w:t>(9) Any other rules necessary to effectuate the provisions of this article.</w:t>
      </w:r>
    </w:p>
    <w:p w14:paraId="5AC42317" w14:textId="77777777" w:rsidR="003D22B5" w:rsidRPr="00AA5CE1" w:rsidRDefault="003D22B5" w:rsidP="00C91250">
      <w:pPr>
        <w:pStyle w:val="SectionBody"/>
        <w:rPr>
          <w:color w:val="auto"/>
        </w:rPr>
      </w:pPr>
      <w:r w:rsidRPr="00AA5CE1">
        <w:rPr>
          <w:color w:val="auto"/>
        </w:rPr>
        <w:t xml:space="preserve">(b) The boards may propose emergency rules pursuant to §29A-3-1 </w:t>
      </w:r>
      <w:r w:rsidRPr="00AA5CE1">
        <w:rPr>
          <w:i/>
          <w:iCs/>
          <w:color w:val="auto"/>
        </w:rPr>
        <w:t>et seq</w:t>
      </w:r>
      <w:r w:rsidRPr="00AA5CE1">
        <w:rPr>
          <w:color w:val="auto"/>
        </w:rPr>
        <w:t xml:space="preserve">. of this code to ensure conformity with this article. </w:t>
      </w:r>
    </w:p>
    <w:p w14:paraId="12EC5FBD" w14:textId="77777777" w:rsidR="003D22B5" w:rsidRPr="00AA5CE1" w:rsidRDefault="003D22B5" w:rsidP="002A16B7">
      <w:pPr>
        <w:pStyle w:val="ArticleHeading"/>
        <w:rPr>
          <w:color w:val="auto"/>
        </w:rPr>
        <w:sectPr w:rsidR="003D22B5" w:rsidRPr="00AA5CE1" w:rsidSect="00DF3302">
          <w:type w:val="continuous"/>
          <w:pgSz w:w="12240" w:h="15840" w:code="1"/>
          <w:pgMar w:top="1440" w:right="1440" w:bottom="1440" w:left="1440" w:header="720" w:footer="720" w:gutter="0"/>
          <w:lnNumType w:countBy="1" w:restart="newSection"/>
          <w:cols w:space="720"/>
          <w:titlePg/>
          <w:docGrid w:linePitch="360"/>
        </w:sectPr>
      </w:pPr>
      <w:r w:rsidRPr="00AA5CE1">
        <w:rPr>
          <w:color w:val="auto"/>
        </w:rPr>
        <w:t>ARTICLE 7. REGISTERED PROFESSIONAL NURSES.</w:t>
      </w:r>
    </w:p>
    <w:p w14:paraId="499BE96F" w14:textId="77777777" w:rsidR="003D22B5" w:rsidRPr="00AA5CE1" w:rsidRDefault="003D22B5" w:rsidP="00D326E1">
      <w:pPr>
        <w:pStyle w:val="SectionHeading"/>
        <w:rPr>
          <w:color w:val="auto"/>
        </w:rPr>
        <w:sectPr w:rsidR="003D22B5" w:rsidRPr="00AA5CE1" w:rsidSect="00E926A2">
          <w:type w:val="continuous"/>
          <w:pgSz w:w="12240" w:h="15840" w:code="1"/>
          <w:pgMar w:top="1440" w:right="1440" w:bottom="1440" w:left="1440" w:header="720" w:footer="720" w:gutter="0"/>
          <w:lnNumType w:countBy="1" w:restart="newSection"/>
          <w:cols w:space="720"/>
          <w:titlePg/>
          <w:docGrid w:linePitch="360"/>
        </w:sectPr>
      </w:pPr>
      <w:r w:rsidRPr="00AA5CE1">
        <w:rPr>
          <w:color w:val="auto"/>
        </w:rPr>
        <w:t>§30-7-15a. Prescriptive authority for prescription drugs; coordination with Board of Pharmacy; rule-making authority.</w:t>
      </w:r>
    </w:p>
    <w:p w14:paraId="7D571D6A" w14:textId="77777777" w:rsidR="003D22B5" w:rsidRPr="00AA5CE1" w:rsidRDefault="003D22B5" w:rsidP="00EB45A3">
      <w:pPr>
        <w:pStyle w:val="SectionBody"/>
        <w:rPr>
          <w:rFonts w:cs="Arial"/>
          <w:color w:val="auto"/>
        </w:rPr>
      </w:pPr>
      <w:r w:rsidRPr="00AA5CE1">
        <w:rPr>
          <w:rFonts w:cs="Arial"/>
          <w:color w:val="auto"/>
        </w:rPr>
        <w:t>(a) The board may, in its discretion, authorize an advanced practice registered nurse to prescribe prescription drugs in accordance with this article and all other applicable state and federal laws. An authorized advanced practice registered nurse may write or sign prescriptions or transmit prescriptions verbally or by other means of communication.</w:t>
      </w:r>
    </w:p>
    <w:p w14:paraId="12106066" w14:textId="593317F7" w:rsidR="003D22B5" w:rsidRPr="00AA5CE1" w:rsidRDefault="003D22B5" w:rsidP="00EB45A3">
      <w:pPr>
        <w:pStyle w:val="SectionBody"/>
        <w:rPr>
          <w:rFonts w:cs="Arial"/>
          <w:color w:val="auto"/>
        </w:rPr>
      </w:pPr>
      <w:r w:rsidRPr="00AA5CE1">
        <w:rPr>
          <w:rFonts w:cs="Arial"/>
          <w:color w:val="auto"/>
        </w:rPr>
        <w:t xml:space="preserve">(b) The board shall promulgate legislative rules in accordance with </w:t>
      </w:r>
      <w:r w:rsidR="0068438F" w:rsidRPr="00AA5CE1">
        <w:rPr>
          <w:color w:val="auto"/>
        </w:rPr>
        <w:t xml:space="preserve">§29A-3-1 </w:t>
      </w:r>
      <w:r w:rsidR="0068438F" w:rsidRPr="00AA5CE1">
        <w:rPr>
          <w:i/>
          <w:iCs/>
          <w:color w:val="auto"/>
        </w:rPr>
        <w:t>et seq</w:t>
      </w:r>
      <w:r w:rsidR="0068438F" w:rsidRPr="00AA5CE1">
        <w:rPr>
          <w:color w:val="auto"/>
        </w:rPr>
        <w:t>. of this code</w:t>
      </w:r>
      <w:r w:rsidRPr="00AA5CE1">
        <w:rPr>
          <w:rFonts w:cs="Arial"/>
          <w:color w:val="auto"/>
        </w:rPr>
        <w:t xml:space="preserve"> of this code governing the eligibility and extent to which an advanced practice registered nurse may prescribe drugs. </w:t>
      </w:r>
      <w:r w:rsidRPr="00AA5CE1">
        <w:rPr>
          <w:rFonts w:cs="Arial"/>
          <w:strike/>
          <w:color w:val="auto"/>
        </w:rPr>
        <w:t>Such</w:t>
      </w:r>
      <w:r w:rsidRPr="00AA5CE1">
        <w:rPr>
          <w:rFonts w:cs="Arial"/>
          <w:color w:val="auto"/>
        </w:rPr>
        <w:t xml:space="preserve"> </w:t>
      </w:r>
      <w:r w:rsidR="0068438F" w:rsidRPr="00AA5CE1">
        <w:rPr>
          <w:rFonts w:cs="Arial"/>
          <w:color w:val="auto"/>
          <w:u w:val="single"/>
        </w:rPr>
        <w:t>The</w:t>
      </w:r>
      <w:r w:rsidR="0068438F" w:rsidRPr="00AA5CE1">
        <w:rPr>
          <w:rFonts w:cs="Arial"/>
          <w:color w:val="auto"/>
        </w:rPr>
        <w:t xml:space="preserve"> </w:t>
      </w:r>
      <w:r w:rsidRPr="00AA5CE1">
        <w:rPr>
          <w:rFonts w:cs="Arial"/>
          <w:color w:val="auto"/>
        </w:rPr>
        <w:t xml:space="preserve">rules shall provide, at a minimum, a state formulary classifying those categories of drugs which </w:t>
      </w:r>
      <w:r w:rsidRPr="00AA5CE1">
        <w:rPr>
          <w:rFonts w:cs="Arial"/>
          <w:strike/>
          <w:color w:val="auto"/>
        </w:rPr>
        <w:t>shall</w:t>
      </w:r>
      <w:r w:rsidRPr="00AA5CE1">
        <w:rPr>
          <w:rFonts w:cs="Arial"/>
          <w:color w:val="auto"/>
        </w:rPr>
        <w:t xml:space="preserve"> </w:t>
      </w:r>
      <w:r w:rsidR="0068438F" w:rsidRPr="00AA5CE1">
        <w:rPr>
          <w:rFonts w:cs="Arial"/>
          <w:color w:val="auto"/>
          <w:u w:val="single"/>
        </w:rPr>
        <w:t>may</w:t>
      </w:r>
      <w:r w:rsidR="0068438F" w:rsidRPr="00AA5CE1">
        <w:rPr>
          <w:rFonts w:cs="Arial"/>
          <w:color w:val="auto"/>
        </w:rPr>
        <w:t xml:space="preserve"> </w:t>
      </w:r>
      <w:r w:rsidRPr="00AA5CE1">
        <w:rPr>
          <w:rFonts w:cs="Arial"/>
          <w:color w:val="auto"/>
        </w:rPr>
        <w:t>not be prescribed by advanced practice registered nurse including, but not limited to, Schedules I and II of the Uniform Controlled Substances Act, antineoplastics, radiopharmaceuticals and general anesthetics</w:t>
      </w:r>
      <w:r w:rsidR="00AE21E6" w:rsidRPr="00AA5CE1">
        <w:rPr>
          <w:rFonts w:cs="Arial"/>
          <w:color w:val="auto"/>
        </w:rPr>
        <w:t xml:space="preserve">: </w:t>
      </w:r>
      <w:r w:rsidR="00AE21E6" w:rsidRPr="00AA5CE1">
        <w:rPr>
          <w:i/>
          <w:color w:val="auto"/>
          <w:u w:val="single"/>
        </w:rPr>
        <w:t>Provided,</w:t>
      </w:r>
      <w:r w:rsidR="00AE21E6" w:rsidRPr="00AA5CE1">
        <w:rPr>
          <w:color w:val="auto"/>
          <w:u w:val="single"/>
        </w:rPr>
        <w:t xml:space="preserve"> That an advanced practice registered nurse may prescribe no more than a three-day supply, without refill, of a drug listed in the Uniform Controlled Substances Act as a Schedule II drug.</w:t>
      </w:r>
      <w:r w:rsidRPr="00AA5CE1">
        <w:rPr>
          <w:rFonts w:cs="Arial"/>
          <w:color w:val="auto"/>
        </w:rPr>
        <w:t xml:space="preserve"> Drugs listed under Schedule III shall be limited to a </w:t>
      </w:r>
      <w:r w:rsidR="0068438F" w:rsidRPr="00AA5CE1">
        <w:rPr>
          <w:rFonts w:cs="Arial"/>
          <w:color w:val="auto"/>
        </w:rPr>
        <w:t>thirty-day</w:t>
      </w:r>
      <w:r w:rsidRPr="00AA5CE1">
        <w:rPr>
          <w:rFonts w:cs="Arial"/>
          <w:color w:val="auto"/>
        </w:rPr>
        <w:t xml:space="preserve"> supply without refill. In addition to the above referenced provisions and restrictions and pursuant to a collaborative agreement as set forth in </w:t>
      </w:r>
      <w:r w:rsidR="0068438F" w:rsidRPr="00AA5CE1">
        <w:rPr>
          <w:rFonts w:cs="Arial"/>
          <w:color w:val="auto"/>
        </w:rPr>
        <w:t>§30-7-15b</w:t>
      </w:r>
      <w:r w:rsidRPr="00AA5CE1">
        <w:rPr>
          <w:rFonts w:cs="Arial"/>
          <w:color w:val="auto"/>
        </w:rPr>
        <w:t xml:space="preserve"> of this </w:t>
      </w:r>
      <w:r w:rsidR="0068438F" w:rsidRPr="00AA5CE1">
        <w:rPr>
          <w:rFonts w:cs="Arial"/>
          <w:color w:val="auto"/>
        </w:rPr>
        <w:t>code</w:t>
      </w:r>
      <w:r w:rsidRPr="00AA5CE1">
        <w:rPr>
          <w:rFonts w:cs="Arial"/>
          <w:color w:val="auto"/>
        </w:rPr>
        <w:t xml:space="preserve">, the rules shall permit the prescribing of an annual supply of any drug, with </w:t>
      </w:r>
      <w:r w:rsidRPr="00AA5CE1">
        <w:rPr>
          <w:rFonts w:cs="Arial"/>
          <w:color w:val="auto"/>
        </w:rPr>
        <w:lastRenderedPageBreak/>
        <w:t xml:space="preserve">the exception of controlled substances, which is prescribed for the treatment of a chronic condition, other than chronic pain management. For the purposes of this section, a </w:t>
      </w:r>
      <w:r w:rsidR="00D2772C" w:rsidRPr="00AA5CE1">
        <w:rPr>
          <w:rFonts w:cs="Arial"/>
          <w:color w:val="auto"/>
        </w:rPr>
        <w:t>“</w:t>
      </w:r>
      <w:r w:rsidRPr="00AA5CE1">
        <w:rPr>
          <w:rFonts w:cs="Arial"/>
          <w:color w:val="auto"/>
        </w:rPr>
        <w:t>chronic condition</w:t>
      </w:r>
      <w:r w:rsidR="00D2772C" w:rsidRPr="00AA5CE1">
        <w:rPr>
          <w:rFonts w:cs="Arial"/>
          <w:color w:val="auto"/>
        </w:rPr>
        <w:t xml:space="preserve">” </w:t>
      </w:r>
      <w:r w:rsidRPr="00AA5CE1">
        <w:rPr>
          <w:rFonts w:cs="Arial"/>
          <w:color w:val="auto"/>
        </w:rPr>
        <w:t>is a condition which lasts three months or more, generally cannot be prevented by vaccines, can be controlled but not cured by medication and does not generally disappear. These conditions, with the exception of chronic pain, include, but are not limited to, arthritis, asthma, cardiovascular disease, cancer, diabetes, epilepsy and seizures, and obesity. The prescriber authorized in this section shall note on the prescription the chronic disease being treated.</w:t>
      </w:r>
    </w:p>
    <w:p w14:paraId="194EEA52" w14:textId="2C08EBDF" w:rsidR="003D22B5" w:rsidRPr="00AA5CE1" w:rsidRDefault="003D22B5" w:rsidP="00EB45A3">
      <w:pPr>
        <w:pStyle w:val="SectionBody"/>
        <w:rPr>
          <w:rFonts w:cs="Arial"/>
          <w:color w:val="auto"/>
        </w:rPr>
      </w:pPr>
      <w:r w:rsidRPr="00AA5CE1">
        <w:rPr>
          <w:rFonts w:cs="Arial"/>
          <w:color w:val="auto"/>
        </w:rPr>
        <w:t xml:space="preserve">(c) The board may promulgate emergency rules to implement the provisions of this article pursuant to </w:t>
      </w:r>
      <w:r w:rsidR="0068438F" w:rsidRPr="00AA5CE1">
        <w:rPr>
          <w:rFonts w:cs="Arial"/>
          <w:color w:val="auto"/>
        </w:rPr>
        <w:t>§29A-3-15</w:t>
      </w:r>
      <w:r w:rsidRPr="00AA5CE1">
        <w:rPr>
          <w:rFonts w:cs="Arial"/>
          <w:color w:val="auto"/>
        </w:rPr>
        <w:t xml:space="preserve"> of this code.</w:t>
      </w:r>
    </w:p>
    <w:p w14:paraId="03800749" w14:textId="77777777" w:rsidR="003D22B5" w:rsidRPr="00AA5CE1" w:rsidRDefault="003D22B5" w:rsidP="00EB45A3">
      <w:pPr>
        <w:pStyle w:val="SectionBody"/>
        <w:rPr>
          <w:rFonts w:cs="Arial"/>
          <w:color w:val="auto"/>
        </w:rPr>
      </w:pPr>
      <w:r w:rsidRPr="00AA5CE1">
        <w:rPr>
          <w:rFonts w:cs="Arial"/>
          <w:color w:val="auto"/>
        </w:rPr>
        <w:t>(d) The board shall transmit to the Board of Pharmacy a list of all advanced practice registered nurses with prescriptive authority. The list shall include:</w:t>
      </w:r>
    </w:p>
    <w:p w14:paraId="61A43789" w14:textId="77777777" w:rsidR="003D22B5" w:rsidRPr="00AA5CE1" w:rsidRDefault="003D22B5" w:rsidP="00EB45A3">
      <w:pPr>
        <w:pStyle w:val="SectionBody"/>
        <w:rPr>
          <w:rFonts w:cs="Arial"/>
          <w:color w:val="auto"/>
        </w:rPr>
      </w:pPr>
      <w:r w:rsidRPr="00AA5CE1">
        <w:rPr>
          <w:rFonts w:cs="Arial"/>
          <w:color w:val="auto"/>
        </w:rPr>
        <w:t>(1) The name of the authorized advanced practice registered nurse;</w:t>
      </w:r>
    </w:p>
    <w:p w14:paraId="73F36F90" w14:textId="77777777" w:rsidR="003D22B5" w:rsidRPr="00AA5CE1" w:rsidRDefault="003D22B5" w:rsidP="00EB45A3">
      <w:pPr>
        <w:pStyle w:val="SectionBody"/>
        <w:rPr>
          <w:rFonts w:cs="Arial"/>
          <w:color w:val="auto"/>
        </w:rPr>
      </w:pPr>
      <w:r w:rsidRPr="00AA5CE1">
        <w:rPr>
          <w:rFonts w:cs="Arial"/>
          <w:color w:val="auto"/>
        </w:rPr>
        <w:t>(2) The prescriber's identification number assigned by the board; and</w:t>
      </w:r>
    </w:p>
    <w:p w14:paraId="6D8D8CBE" w14:textId="5F3AEA26" w:rsidR="008736AA" w:rsidRPr="00AA5CE1" w:rsidRDefault="003D22B5" w:rsidP="00AE21E6">
      <w:pPr>
        <w:ind w:firstLine="720"/>
        <w:jc w:val="both"/>
        <w:rPr>
          <w:color w:val="auto"/>
        </w:rPr>
      </w:pPr>
      <w:r w:rsidRPr="00AA5CE1">
        <w:rPr>
          <w:rFonts w:cs="Arial"/>
          <w:color w:val="auto"/>
        </w:rPr>
        <w:t>(3) The effective date of prescriptive authority.</w:t>
      </w:r>
    </w:p>
    <w:p w14:paraId="6A5D597F" w14:textId="77777777" w:rsidR="00C33014" w:rsidRPr="00AA5CE1" w:rsidRDefault="00C33014" w:rsidP="00CC1F3B">
      <w:pPr>
        <w:pStyle w:val="Note"/>
        <w:rPr>
          <w:color w:val="auto"/>
        </w:rPr>
      </w:pPr>
    </w:p>
    <w:p w14:paraId="1A3F3C60" w14:textId="143A5FEC" w:rsidR="006865E9" w:rsidRPr="00AA5CE1" w:rsidRDefault="00CF1DCA" w:rsidP="00CC1F3B">
      <w:pPr>
        <w:pStyle w:val="Note"/>
        <w:rPr>
          <w:color w:val="auto"/>
        </w:rPr>
      </w:pPr>
      <w:r w:rsidRPr="00AA5CE1">
        <w:rPr>
          <w:color w:val="auto"/>
        </w:rPr>
        <w:t>NOTE: The</w:t>
      </w:r>
      <w:r w:rsidR="006865E9" w:rsidRPr="00AA5CE1">
        <w:rPr>
          <w:color w:val="auto"/>
        </w:rPr>
        <w:t xml:space="preserve"> purpose of this bill is to </w:t>
      </w:r>
      <w:r w:rsidR="008F47A8" w:rsidRPr="00AA5CE1">
        <w:rPr>
          <w:color w:val="auto"/>
        </w:rPr>
        <w:t xml:space="preserve">clean up the code concerning prescriptive authority of </w:t>
      </w:r>
      <w:r w:rsidR="003C408C" w:rsidRPr="00AA5CE1">
        <w:rPr>
          <w:color w:val="auto"/>
        </w:rPr>
        <w:t xml:space="preserve">physicians assistants and </w:t>
      </w:r>
      <w:r w:rsidR="008F47A8" w:rsidRPr="00AA5CE1">
        <w:rPr>
          <w:color w:val="auto"/>
        </w:rPr>
        <w:t>advance practice registered nurses.</w:t>
      </w:r>
    </w:p>
    <w:p w14:paraId="06FBDD2F" w14:textId="77777777" w:rsidR="006865E9" w:rsidRPr="00AA5CE1" w:rsidRDefault="00AE48A0" w:rsidP="00CC1F3B">
      <w:pPr>
        <w:pStyle w:val="Note"/>
        <w:rPr>
          <w:color w:val="auto"/>
        </w:rPr>
      </w:pPr>
      <w:r w:rsidRPr="00AA5CE1">
        <w:rPr>
          <w:color w:val="auto"/>
        </w:rPr>
        <w:t>Strike-throughs indicate language that would be stricken from a heading or the present law and underscoring indicates new language that would be added.</w:t>
      </w:r>
    </w:p>
    <w:sectPr w:rsidR="006865E9" w:rsidRPr="00AA5CE1" w:rsidSect="000A3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F95BC" w14:textId="77777777" w:rsidR="008F147E" w:rsidRPr="00B844FE" w:rsidRDefault="008F147E" w:rsidP="00B844FE">
      <w:r>
        <w:separator/>
      </w:r>
    </w:p>
  </w:endnote>
  <w:endnote w:type="continuationSeparator" w:id="0">
    <w:p w14:paraId="03250895" w14:textId="77777777" w:rsidR="008F147E" w:rsidRPr="00B844FE" w:rsidRDefault="008F14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1481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A9D7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122189"/>
      <w:docPartObj>
        <w:docPartGallery w:val="Page Numbers (Bottom of Page)"/>
        <w:docPartUnique/>
      </w:docPartObj>
    </w:sdtPr>
    <w:sdtEndPr>
      <w:rPr>
        <w:noProof/>
      </w:rPr>
    </w:sdtEndPr>
    <w:sdtContent>
      <w:p w14:paraId="675140FB" w14:textId="5A9013DE" w:rsidR="000A3056" w:rsidRDefault="000A3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50BAA4" w14:textId="3AC9B5D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399898"/>
      <w:docPartObj>
        <w:docPartGallery w:val="Page Numbers (Bottom of Page)"/>
        <w:docPartUnique/>
      </w:docPartObj>
    </w:sdtPr>
    <w:sdtEndPr>
      <w:rPr>
        <w:noProof/>
      </w:rPr>
    </w:sdtEndPr>
    <w:sdtContent>
      <w:p w14:paraId="7C56974B" w14:textId="3FFF21B8" w:rsidR="000A3056" w:rsidRDefault="000A3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D4AC1" w14:textId="77777777" w:rsidR="003D22B5" w:rsidRDefault="003D2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3EDEB" w14:textId="77777777" w:rsidR="008F147E" w:rsidRPr="00B844FE" w:rsidRDefault="008F147E" w:rsidP="00B844FE">
      <w:r>
        <w:separator/>
      </w:r>
    </w:p>
  </w:footnote>
  <w:footnote w:type="continuationSeparator" w:id="0">
    <w:p w14:paraId="0E364977" w14:textId="77777777" w:rsidR="008F147E" w:rsidRPr="00B844FE" w:rsidRDefault="008F14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12DD3" w14:textId="77777777" w:rsidR="002A0269" w:rsidRPr="00B844FE" w:rsidRDefault="006E7A98">
    <w:pPr>
      <w:pStyle w:val="Header"/>
    </w:pPr>
    <w:sdt>
      <w:sdtPr>
        <w:id w:val="-684364211"/>
        <w:placeholder>
          <w:docPart w:val="385D508110B147D782F7EACB60041D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5D508110B147D782F7EACB60041D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E5C5" w14:textId="6EC966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35A6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5A6A">
          <w:rPr>
            <w:sz w:val="22"/>
            <w:szCs w:val="22"/>
          </w:rPr>
          <w:t>2022R1965</w:t>
        </w:r>
      </w:sdtContent>
    </w:sdt>
  </w:p>
  <w:p w14:paraId="089670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DB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B5"/>
    <w:rsid w:val="0000526A"/>
    <w:rsid w:val="00036251"/>
    <w:rsid w:val="000573A9"/>
    <w:rsid w:val="00085D22"/>
    <w:rsid w:val="000A3056"/>
    <w:rsid w:val="000C5C77"/>
    <w:rsid w:val="000D5655"/>
    <w:rsid w:val="000E3912"/>
    <w:rsid w:val="0010070F"/>
    <w:rsid w:val="0015112E"/>
    <w:rsid w:val="001552E7"/>
    <w:rsid w:val="001566B4"/>
    <w:rsid w:val="001A66B7"/>
    <w:rsid w:val="001C279E"/>
    <w:rsid w:val="001D459E"/>
    <w:rsid w:val="00205BE9"/>
    <w:rsid w:val="0022348D"/>
    <w:rsid w:val="00233788"/>
    <w:rsid w:val="0027011C"/>
    <w:rsid w:val="00274200"/>
    <w:rsid w:val="00275740"/>
    <w:rsid w:val="002A0269"/>
    <w:rsid w:val="00303684"/>
    <w:rsid w:val="003143F5"/>
    <w:rsid w:val="00314854"/>
    <w:rsid w:val="00346034"/>
    <w:rsid w:val="00394191"/>
    <w:rsid w:val="003C408C"/>
    <w:rsid w:val="003C51CD"/>
    <w:rsid w:val="003C6034"/>
    <w:rsid w:val="003D22B5"/>
    <w:rsid w:val="00400B5C"/>
    <w:rsid w:val="0042540C"/>
    <w:rsid w:val="004368E0"/>
    <w:rsid w:val="004410FD"/>
    <w:rsid w:val="004C13DD"/>
    <w:rsid w:val="004D3ABE"/>
    <w:rsid w:val="004E3441"/>
    <w:rsid w:val="00500579"/>
    <w:rsid w:val="005323AD"/>
    <w:rsid w:val="005A5366"/>
    <w:rsid w:val="006369EB"/>
    <w:rsid w:val="00637E73"/>
    <w:rsid w:val="006438B9"/>
    <w:rsid w:val="0068438F"/>
    <w:rsid w:val="006865E9"/>
    <w:rsid w:val="00686E9A"/>
    <w:rsid w:val="00691F3E"/>
    <w:rsid w:val="00694BFB"/>
    <w:rsid w:val="006A106B"/>
    <w:rsid w:val="006C523D"/>
    <w:rsid w:val="006D4036"/>
    <w:rsid w:val="006D72F3"/>
    <w:rsid w:val="006E7A98"/>
    <w:rsid w:val="007A5259"/>
    <w:rsid w:val="007A7081"/>
    <w:rsid w:val="007D57FF"/>
    <w:rsid w:val="007F1CF5"/>
    <w:rsid w:val="00834EDE"/>
    <w:rsid w:val="008736AA"/>
    <w:rsid w:val="008D275D"/>
    <w:rsid w:val="008F07B0"/>
    <w:rsid w:val="008F147E"/>
    <w:rsid w:val="008F47A8"/>
    <w:rsid w:val="00980327"/>
    <w:rsid w:val="00986478"/>
    <w:rsid w:val="009B5557"/>
    <w:rsid w:val="009D75FB"/>
    <w:rsid w:val="009F1067"/>
    <w:rsid w:val="00A31E01"/>
    <w:rsid w:val="00A527AD"/>
    <w:rsid w:val="00A56714"/>
    <w:rsid w:val="00A718CF"/>
    <w:rsid w:val="00AA5CE1"/>
    <w:rsid w:val="00AE21E6"/>
    <w:rsid w:val="00AE48A0"/>
    <w:rsid w:val="00AE61BE"/>
    <w:rsid w:val="00B16F25"/>
    <w:rsid w:val="00B24422"/>
    <w:rsid w:val="00B66B81"/>
    <w:rsid w:val="00B80C20"/>
    <w:rsid w:val="00B844FE"/>
    <w:rsid w:val="00B86B4F"/>
    <w:rsid w:val="00BA1F84"/>
    <w:rsid w:val="00BC562B"/>
    <w:rsid w:val="00C33014"/>
    <w:rsid w:val="00C33434"/>
    <w:rsid w:val="00C34869"/>
    <w:rsid w:val="00C41B7E"/>
    <w:rsid w:val="00C42EB6"/>
    <w:rsid w:val="00C85096"/>
    <w:rsid w:val="00CA292D"/>
    <w:rsid w:val="00CB20EF"/>
    <w:rsid w:val="00CB691B"/>
    <w:rsid w:val="00CC1F3B"/>
    <w:rsid w:val="00CD12CB"/>
    <w:rsid w:val="00CD36CF"/>
    <w:rsid w:val="00CF1DCA"/>
    <w:rsid w:val="00D2772C"/>
    <w:rsid w:val="00D326E1"/>
    <w:rsid w:val="00D579FC"/>
    <w:rsid w:val="00D81C16"/>
    <w:rsid w:val="00DB21C2"/>
    <w:rsid w:val="00DE526B"/>
    <w:rsid w:val="00DF199D"/>
    <w:rsid w:val="00E01542"/>
    <w:rsid w:val="00E365F1"/>
    <w:rsid w:val="00E42E5B"/>
    <w:rsid w:val="00E47973"/>
    <w:rsid w:val="00E5490B"/>
    <w:rsid w:val="00E62F48"/>
    <w:rsid w:val="00E831B3"/>
    <w:rsid w:val="00E95FBC"/>
    <w:rsid w:val="00EC5E63"/>
    <w:rsid w:val="00EE70CB"/>
    <w:rsid w:val="00F13093"/>
    <w:rsid w:val="00F35A6A"/>
    <w:rsid w:val="00F41CA2"/>
    <w:rsid w:val="00F443C0"/>
    <w:rsid w:val="00F62EFB"/>
    <w:rsid w:val="00F939A4"/>
    <w:rsid w:val="00FA7B09"/>
    <w:rsid w:val="00FD5B51"/>
    <w:rsid w:val="00FE067E"/>
    <w:rsid w:val="00FE208F"/>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97CB7"/>
  <w15:chartTrackingRefBased/>
  <w15:docId w15:val="{CB4DBE64-0A10-4869-8F73-663E397E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22B5"/>
    <w:rPr>
      <w:rFonts w:eastAsia="Calibri"/>
      <w:b/>
      <w:caps/>
      <w:color w:val="000000"/>
      <w:sz w:val="24"/>
    </w:rPr>
  </w:style>
  <w:style w:type="character" w:customStyle="1" w:styleId="SectionBodyChar">
    <w:name w:val="Section Body Char"/>
    <w:link w:val="SectionBody"/>
    <w:rsid w:val="003D22B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E0675DDBBC43D5BFE9FE241F2E9902"/>
        <w:category>
          <w:name w:val="General"/>
          <w:gallery w:val="placeholder"/>
        </w:category>
        <w:types>
          <w:type w:val="bbPlcHdr"/>
        </w:types>
        <w:behaviors>
          <w:behavior w:val="content"/>
        </w:behaviors>
        <w:guid w:val="{0321E7DA-AD76-493E-94D2-1960A2980A92}"/>
      </w:docPartPr>
      <w:docPartBody>
        <w:p w:rsidR="00C55D0A" w:rsidRDefault="0030207E">
          <w:pPr>
            <w:pStyle w:val="7FE0675DDBBC43D5BFE9FE241F2E9902"/>
          </w:pPr>
          <w:r w:rsidRPr="00B844FE">
            <w:t>Prefix Text</w:t>
          </w:r>
        </w:p>
      </w:docPartBody>
    </w:docPart>
    <w:docPart>
      <w:docPartPr>
        <w:name w:val="385D508110B147D782F7EACB60041DC9"/>
        <w:category>
          <w:name w:val="General"/>
          <w:gallery w:val="placeholder"/>
        </w:category>
        <w:types>
          <w:type w:val="bbPlcHdr"/>
        </w:types>
        <w:behaviors>
          <w:behavior w:val="content"/>
        </w:behaviors>
        <w:guid w:val="{1809D9C7-CE35-4EDD-8E07-C079AE5D53E4}"/>
      </w:docPartPr>
      <w:docPartBody>
        <w:p w:rsidR="00C55D0A" w:rsidRDefault="0030207E">
          <w:pPr>
            <w:pStyle w:val="385D508110B147D782F7EACB60041DC9"/>
          </w:pPr>
          <w:r w:rsidRPr="00B844FE">
            <w:t>[Type here]</w:t>
          </w:r>
        </w:p>
      </w:docPartBody>
    </w:docPart>
    <w:docPart>
      <w:docPartPr>
        <w:name w:val="A5E066C33B544953B5697CBACDF9EBAC"/>
        <w:category>
          <w:name w:val="General"/>
          <w:gallery w:val="placeholder"/>
        </w:category>
        <w:types>
          <w:type w:val="bbPlcHdr"/>
        </w:types>
        <w:behaviors>
          <w:behavior w:val="content"/>
        </w:behaviors>
        <w:guid w:val="{DD40C171-1A7B-4BC7-9BAE-41C5777D0EE9}"/>
      </w:docPartPr>
      <w:docPartBody>
        <w:p w:rsidR="00C55D0A" w:rsidRDefault="0030207E">
          <w:pPr>
            <w:pStyle w:val="A5E066C33B544953B5697CBACDF9EBAC"/>
          </w:pPr>
          <w:r w:rsidRPr="00B844FE">
            <w:t>Number</w:t>
          </w:r>
        </w:p>
      </w:docPartBody>
    </w:docPart>
    <w:docPart>
      <w:docPartPr>
        <w:name w:val="CD20BB35C6DF4196BDC1ABFBB7B4F4D1"/>
        <w:category>
          <w:name w:val="General"/>
          <w:gallery w:val="placeholder"/>
        </w:category>
        <w:types>
          <w:type w:val="bbPlcHdr"/>
        </w:types>
        <w:behaviors>
          <w:behavior w:val="content"/>
        </w:behaviors>
        <w:guid w:val="{80407AEA-0460-4B71-9327-B40100BC7BFB}"/>
      </w:docPartPr>
      <w:docPartBody>
        <w:p w:rsidR="00C55D0A" w:rsidRDefault="0030207E">
          <w:pPr>
            <w:pStyle w:val="CD20BB35C6DF4196BDC1ABFBB7B4F4D1"/>
          </w:pPr>
          <w:r w:rsidRPr="00B844FE">
            <w:t>Enter Sponsors Here</w:t>
          </w:r>
        </w:p>
      </w:docPartBody>
    </w:docPart>
    <w:docPart>
      <w:docPartPr>
        <w:name w:val="5294C042251A4148814D853A4DED8311"/>
        <w:category>
          <w:name w:val="General"/>
          <w:gallery w:val="placeholder"/>
        </w:category>
        <w:types>
          <w:type w:val="bbPlcHdr"/>
        </w:types>
        <w:behaviors>
          <w:behavior w:val="content"/>
        </w:behaviors>
        <w:guid w:val="{46CD2F7B-A00D-4752-8AD3-89023E09E9CB}"/>
      </w:docPartPr>
      <w:docPartBody>
        <w:p w:rsidR="00C55D0A" w:rsidRDefault="0030207E">
          <w:pPr>
            <w:pStyle w:val="5294C042251A4148814D853A4DED83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7E"/>
    <w:rsid w:val="0030207E"/>
    <w:rsid w:val="00833FB8"/>
    <w:rsid w:val="00840505"/>
    <w:rsid w:val="009D469E"/>
    <w:rsid w:val="00C55D0A"/>
    <w:rsid w:val="00C67091"/>
    <w:rsid w:val="00F9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0675DDBBC43D5BFE9FE241F2E9902">
    <w:name w:val="7FE0675DDBBC43D5BFE9FE241F2E9902"/>
  </w:style>
  <w:style w:type="paragraph" w:customStyle="1" w:styleId="385D508110B147D782F7EACB60041DC9">
    <w:name w:val="385D508110B147D782F7EACB60041DC9"/>
  </w:style>
  <w:style w:type="paragraph" w:customStyle="1" w:styleId="A5E066C33B544953B5697CBACDF9EBAC">
    <w:name w:val="A5E066C33B544953B5697CBACDF9EBAC"/>
  </w:style>
  <w:style w:type="paragraph" w:customStyle="1" w:styleId="CD20BB35C6DF4196BDC1ABFBB7B4F4D1">
    <w:name w:val="CD20BB35C6DF4196BDC1ABFBB7B4F4D1"/>
  </w:style>
  <w:style w:type="character" w:styleId="PlaceholderText">
    <w:name w:val="Placeholder Text"/>
    <w:basedOn w:val="DefaultParagraphFont"/>
    <w:uiPriority w:val="99"/>
    <w:semiHidden/>
    <w:rPr>
      <w:color w:val="808080"/>
    </w:rPr>
  </w:style>
  <w:style w:type="paragraph" w:customStyle="1" w:styleId="5294C042251A4148814D853A4DED8311">
    <w:name w:val="5294C042251A4148814D853A4DED8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2022-01-14T15:14:00Z</dcterms:created>
  <dcterms:modified xsi:type="dcterms:W3CDTF">2022-01-14T15:14:00Z</dcterms:modified>
</cp:coreProperties>
</file>